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D66" w:rsidRPr="00EC5CF0" w:rsidRDefault="00FE7D66" w:rsidP="00FE7D66">
      <w:pPr>
        <w:rPr>
          <w:rFonts w:ascii="Arial" w:hAnsi="Arial" w:cs="Arial"/>
          <w:b/>
          <w:u w:val="single"/>
        </w:rPr>
      </w:pPr>
    </w:p>
    <w:p w:rsidR="007A4445" w:rsidRPr="00EC5CF0" w:rsidRDefault="007A4445" w:rsidP="00FE7D66">
      <w:pPr>
        <w:rPr>
          <w:rFonts w:ascii="Arial" w:hAnsi="Arial" w:cs="Arial"/>
          <w:b/>
          <w:u w:val="single"/>
        </w:rPr>
      </w:pPr>
    </w:p>
    <w:p w:rsidR="007A4445" w:rsidRPr="00EC5CF0" w:rsidRDefault="007A4445" w:rsidP="00FE7D66">
      <w:pPr>
        <w:rPr>
          <w:rFonts w:ascii="Arial" w:hAnsi="Arial" w:cs="Arial"/>
          <w:b/>
          <w:sz w:val="32"/>
          <w:szCs w:val="32"/>
          <w:u w:val="single"/>
        </w:rPr>
      </w:pPr>
      <w:r w:rsidRPr="00EC5CF0">
        <w:rPr>
          <w:rFonts w:ascii="Arial" w:hAnsi="Arial" w:cs="Arial"/>
          <w:b/>
          <w:sz w:val="32"/>
          <w:szCs w:val="32"/>
          <w:u w:val="single"/>
        </w:rPr>
        <w:t>Help for Employees</w:t>
      </w:r>
    </w:p>
    <w:p w:rsidR="00EC5CF0" w:rsidRPr="00EC5CF0" w:rsidRDefault="00EC5CF0" w:rsidP="00FE7D66">
      <w:pPr>
        <w:rPr>
          <w:rFonts w:ascii="Arial" w:hAnsi="Arial" w:cs="Arial"/>
          <w:b/>
          <w:sz w:val="28"/>
          <w:szCs w:val="28"/>
          <w:u w:val="single"/>
        </w:rPr>
      </w:pPr>
    </w:p>
    <w:p w:rsidR="007A4445" w:rsidRPr="00EC5CF0" w:rsidRDefault="007A4445" w:rsidP="00FE7D66">
      <w:pPr>
        <w:rPr>
          <w:rFonts w:ascii="Arial" w:hAnsi="Arial" w:cs="Arial"/>
          <w:b/>
          <w:u w:val="single"/>
        </w:rPr>
      </w:pPr>
    </w:p>
    <w:p w:rsidR="007A4445" w:rsidRPr="00EC5CF0" w:rsidRDefault="007A4445" w:rsidP="007A4445">
      <w:pPr>
        <w:rPr>
          <w:rFonts w:ascii="Arial" w:hAnsi="Arial" w:cs="Arial"/>
          <w:b/>
          <w:u w:val="single"/>
        </w:rPr>
      </w:pPr>
      <w:r w:rsidRPr="00EC5CF0">
        <w:rPr>
          <w:rFonts w:ascii="Arial" w:hAnsi="Arial" w:cs="Arial"/>
          <w:b/>
          <w:u w:val="single"/>
        </w:rPr>
        <w:t>Help for Employees – mental health</w:t>
      </w:r>
    </w:p>
    <w:p w:rsidR="007A4445" w:rsidRPr="00EC5CF0" w:rsidRDefault="007A4445" w:rsidP="007A4445">
      <w:pPr>
        <w:rPr>
          <w:rFonts w:ascii="Arial" w:hAnsi="Arial" w:cs="Arial"/>
          <w:b/>
        </w:rPr>
      </w:pPr>
    </w:p>
    <w:p w:rsidR="00445489" w:rsidRPr="00EC5CF0" w:rsidRDefault="00445489" w:rsidP="007A4445">
      <w:pPr>
        <w:rPr>
          <w:rFonts w:ascii="Arial" w:hAnsi="Arial" w:cs="Arial"/>
        </w:rPr>
      </w:pPr>
      <w:r w:rsidRPr="00EC5CF0">
        <w:rPr>
          <w:rFonts w:ascii="Arial" w:hAnsi="Arial" w:cs="Arial"/>
        </w:rPr>
        <w:t>Able Futures</w:t>
      </w:r>
    </w:p>
    <w:p w:rsidR="007A4445" w:rsidRPr="00EC5CF0" w:rsidRDefault="00EC5CF0" w:rsidP="007A4445">
      <w:pPr>
        <w:rPr>
          <w:rFonts w:ascii="Arial" w:hAnsi="Arial" w:cs="Arial"/>
        </w:rPr>
      </w:pPr>
      <w:hyperlink r:id="rId6" w:history="1">
        <w:r w:rsidR="007A4445" w:rsidRPr="00EC5CF0">
          <w:rPr>
            <w:rStyle w:val="Hyperlink"/>
            <w:rFonts w:ascii="Arial" w:hAnsi="Arial" w:cs="Arial"/>
          </w:rPr>
          <w:t>https://able-futures.co.uk</w:t>
        </w:r>
      </w:hyperlink>
    </w:p>
    <w:p w:rsidR="007A4445" w:rsidRPr="00EC5CF0" w:rsidRDefault="007A4445" w:rsidP="007A4445">
      <w:pPr>
        <w:rPr>
          <w:rFonts w:ascii="Arial" w:hAnsi="Arial" w:cs="Arial"/>
        </w:rPr>
      </w:pPr>
    </w:p>
    <w:p w:rsidR="007A4445" w:rsidRPr="00EC5CF0" w:rsidRDefault="00445489" w:rsidP="007A4445">
      <w:pPr>
        <w:rPr>
          <w:rFonts w:ascii="Arial" w:hAnsi="Arial" w:cs="Arial"/>
        </w:rPr>
      </w:pPr>
      <w:r w:rsidRPr="00EC5CF0">
        <w:rPr>
          <w:rFonts w:ascii="Arial" w:hAnsi="Arial" w:cs="Arial"/>
        </w:rPr>
        <w:t>Remploy</w:t>
      </w:r>
    </w:p>
    <w:p w:rsidR="007A4445" w:rsidRPr="00EC5CF0" w:rsidRDefault="00EC5CF0" w:rsidP="007A4445">
      <w:pPr>
        <w:rPr>
          <w:rFonts w:ascii="Arial" w:hAnsi="Arial" w:cs="Arial"/>
        </w:rPr>
      </w:pPr>
      <w:hyperlink r:id="rId7" w:history="1">
        <w:r w:rsidR="007A4445" w:rsidRPr="00EC5CF0">
          <w:rPr>
            <w:rStyle w:val="Hyperlink"/>
            <w:rFonts w:ascii="Arial" w:hAnsi="Arial" w:cs="Arial"/>
          </w:rPr>
          <w:t>https://www.remploy.co.uk/employers/mental-health-and-wellbeing/workplace-mental-health-support-service-employers?utm_source=http%3a%2f%2fnews.dwp.gov.uk%2fdwplz%2f&amp;utm_medium=email&amp;utm_campaign=COVID-19+support+%7c+Access+to+Work+%7c+Mental+health&amp;utm_term=COVID-19+support+%7c+Access+to+Work+%7c+Mental+health+&amp;utm_content=36141</w:t>
        </w:r>
      </w:hyperlink>
    </w:p>
    <w:p w:rsidR="007A4445" w:rsidRPr="00EC5CF0" w:rsidRDefault="007A4445" w:rsidP="007A4445">
      <w:pPr>
        <w:rPr>
          <w:rFonts w:ascii="Arial" w:hAnsi="Arial" w:cs="Arial"/>
        </w:rPr>
      </w:pPr>
    </w:p>
    <w:p w:rsidR="007A4445" w:rsidRPr="00EC5CF0" w:rsidRDefault="007A4445" w:rsidP="007A4445">
      <w:pPr>
        <w:rPr>
          <w:rFonts w:ascii="Arial" w:hAnsi="Arial" w:cs="Arial"/>
          <w:b/>
          <w:u w:val="single"/>
        </w:rPr>
      </w:pPr>
      <w:r w:rsidRPr="00EC5CF0">
        <w:rPr>
          <w:rFonts w:ascii="Arial" w:hAnsi="Arial" w:cs="Arial"/>
          <w:b/>
          <w:u w:val="single"/>
        </w:rPr>
        <w:t>Reasonable Adjustments – Advice for employees</w:t>
      </w:r>
    </w:p>
    <w:p w:rsidR="007A4445" w:rsidRPr="00EC5CF0" w:rsidRDefault="007A4445" w:rsidP="007A4445">
      <w:pPr>
        <w:rPr>
          <w:rFonts w:ascii="Arial" w:hAnsi="Arial" w:cs="Arial"/>
        </w:rPr>
      </w:pPr>
    </w:p>
    <w:p w:rsidR="00445489" w:rsidRPr="00EC5CF0" w:rsidRDefault="00445489" w:rsidP="007A4445">
      <w:pPr>
        <w:rPr>
          <w:rFonts w:ascii="Arial" w:hAnsi="Arial" w:cs="Arial"/>
        </w:rPr>
      </w:pPr>
      <w:r w:rsidRPr="00EC5CF0">
        <w:rPr>
          <w:rFonts w:ascii="Arial" w:hAnsi="Arial" w:cs="Arial"/>
        </w:rPr>
        <w:t>Access to Work</w:t>
      </w:r>
    </w:p>
    <w:p w:rsidR="007A4445" w:rsidRPr="00EC5CF0" w:rsidRDefault="00EC5CF0" w:rsidP="007A4445">
      <w:pPr>
        <w:rPr>
          <w:rFonts w:ascii="Arial" w:hAnsi="Arial" w:cs="Arial"/>
        </w:rPr>
      </w:pPr>
      <w:hyperlink r:id="rId8" w:history="1">
        <w:r w:rsidR="007A4445" w:rsidRPr="00EC5CF0">
          <w:rPr>
            <w:rStyle w:val="Hyperlink"/>
            <w:rFonts w:ascii="Arial" w:hAnsi="Arial" w:cs="Arial"/>
          </w:rPr>
          <w:t>https://www.gov.uk/access-to-work</w:t>
        </w:r>
      </w:hyperlink>
    </w:p>
    <w:p w:rsidR="007A4445" w:rsidRPr="00EC5CF0" w:rsidRDefault="007A4445" w:rsidP="007A4445">
      <w:pPr>
        <w:rPr>
          <w:rFonts w:ascii="Arial" w:hAnsi="Arial" w:cs="Arial"/>
        </w:rPr>
      </w:pPr>
    </w:p>
    <w:p w:rsidR="007A4445" w:rsidRPr="00EC5CF0" w:rsidRDefault="007A4445" w:rsidP="00FE7D66">
      <w:pPr>
        <w:rPr>
          <w:rFonts w:ascii="Arial" w:hAnsi="Arial" w:cs="Arial"/>
          <w:color w:val="1F497D"/>
        </w:rPr>
      </w:pPr>
    </w:p>
    <w:p w:rsidR="00C1567B" w:rsidRPr="00EC5CF0" w:rsidRDefault="00C1567B" w:rsidP="00C1567B">
      <w:pPr>
        <w:rPr>
          <w:rFonts w:ascii="Arial" w:hAnsi="Arial" w:cs="Arial"/>
          <w:b/>
          <w:u w:val="single"/>
        </w:rPr>
      </w:pPr>
      <w:r w:rsidRPr="00EC5CF0">
        <w:rPr>
          <w:rFonts w:ascii="Arial" w:hAnsi="Arial" w:cs="Arial"/>
          <w:b/>
          <w:u w:val="single"/>
        </w:rPr>
        <w:t>Personal profiling – neurodiversity</w:t>
      </w:r>
    </w:p>
    <w:p w:rsidR="00C1567B" w:rsidRPr="00EC5CF0" w:rsidRDefault="00C1567B" w:rsidP="00C1567B">
      <w:pPr>
        <w:rPr>
          <w:rFonts w:ascii="Arial" w:hAnsi="Arial" w:cs="Arial"/>
          <w:b/>
          <w:u w:val="single"/>
        </w:rPr>
      </w:pPr>
      <w:r w:rsidRPr="00EC5CF0">
        <w:rPr>
          <w:rFonts w:ascii="Arial" w:hAnsi="Arial" w:cs="Arial"/>
          <w:b/>
          <w:u w:val="single"/>
        </w:rPr>
        <w:t>Understand strengths &amp; weaknesses in a workplace context</w:t>
      </w:r>
    </w:p>
    <w:p w:rsidR="00C1567B" w:rsidRPr="00EC5CF0" w:rsidRDefault="00C1567B" w:rsidP="00FE7D66">
      <w:pPr>
        <w:rPr>
          <w:rFonts w:ascii="Arial" w:hAnsi="Arial" w:cs="Arial"/>
          <w:color w:val="1F497D"/>
        </w:rPr>
      </w:pPr>
    </w:p>
    <w:p w:rsidR="00C1567B" w:rsidRPr="00EC5CF0" w:rsidRDefault="00C1567B" w:rsidP="00FE7D66">
      <w:pPr>
        <w:rPr>
          <w:rFonts w:ascii="Arial" w:hAnsi="Arial" w:cs="Arial"/>
          <w:color w:val="1F497D"/>
        </w:rPr>
      </w:pPr>
      <w:r w:rsidRPr="00EC5CF0">
        <w:rPr>
          <w:rFonts w:ascii="Arial" w:hAnsi="Arial" w:cs="Arial"/>
          <w:color w:val="1F497D"/>
        </w:rPr>
        <w:t>Do It Solutions</w:t>
      </w:r>
    </w:p>
    <w:p w:rsidR="00C1567B" w:rsidRPr="00EC5CF0" w:rsidRDefault="00EC5CF0" w:rsidP="00FE7D66">
      <w:pPr>
        <w:rPr>
          <w:rFonts w:ascii="Arial" w:hAnsi="Arial" w:cs="Arial"/>
          <w:color w:val="1F497D"/>
        </w:rPr>
      </w:pPr>
      <w:hyperlink r:id="rId9" w:history="1">
        <w:r w:rsidR="00C1567B" w:rsidRPr="00EC5CF0">
          <w:rPr>
            <w:rStyle w:val="Hyperlink"/>
            <w:rFonts w:ascii="Arial" w:hAnsi="Arial" w:cs="Arial"/>
          </w:rPr>
          <w:t>https://doitprofiler.com/personal-profilers</w:t>
        </w:r>
      </w:hyperlink>
    </w:p>
    <w:p w:rsidR="00C1567B" w:rsidRPr="00EC5CF0" w:rsidRDefault="00C1567B" w:rsidP="00FE7D66">
      <w:pPr>
        <w:rPr>
          <w:rFonts w:ascii="Arial" w:hAnsi="Arial" w:cs="Arial"/>
          <w:color w:val="1F497D"/>
        </w:rPr>
      </w:pPr>
    </w:p>
    <w:p w:rsidR="00C1567B" w:rsidRPr="00EC5CF0" w:rsidRDefault="00C1567B" w:rsidP="00FE7D66">
      <w:pPr>
        <w:rPr>
          <w:rFonts w:ascii="Arial" w:hAnsi="Arial" w:cs="Arial"/>
          <w:color w:val="1F497D"/>
        </w:rPr>
      </w:pPr>
    </w:p>
    <w:p w:rsidR="00FE7D66" w:rsidRPr="00EC5CF0" w:rsidRDefault="00C304CE" w:rsidP="00FE7D66">
      <w:pPr>
        <w:rPr>
          <w:rFonts w:ascii="Arial" w:hAnsi="Arial" w:cs="Arial"/>
          <w:b/>
          <w:u w:val="single"/>
        </w:rPr>
      </w:pPr>
      <w:r w:rsidRPr="00EC5CF0">
        <w:rPr>
          <w:rFonts w:ascii="Arial" w:hAnsi="Arial" w:cs="Arial"/>
          <w:b/>
          <w:u w:val="single"/>
        </w:rPr>
        <w:t>Finding Work</w:t>
      </w:r>
    </w:p>
    <w:p w:rsidR="00C304CE" w:rsidRPr="00EC5CF0" w:rsidRDefault="00C304CE" w:rsidP="00FE7D66">
      <w:pPr>
        <w:rPr>
          <w:rFonts w:ascii="Arial" w:hAnsi="Arial" w:cs="Arial"/>
        </w:rPr>
      </w:pPr>
    </w:p>
    <w:p w:rsidR="00C304CE" w:rsidRPr="00EC5CF0" w:rsidRDefault="00C304CE" w:rsidP="00FE7D66">
      <w:pPr>
        <w:rPr>
          <w:rFonts w:ascii="Arial" w:hAnsi="Arial" w:cs="Arial"/>
        </w:rPr>
      </w:pPr>
      <w:r w:rsidRPr="00EC5CF0">
        <w:rPr>
          <w:rFonts w:ascii="Arial" w:hAnsi="Arial" w:cs="Arial"/>
        </w:rPr>
        <w:t>Scope – Support to Work</w:t>
      </w:r>
    </w:p>
    <w:p w:rsidR="00FE7D66" w:rsidRPr="00EC5CF0" w:rsidRDefault="00EC5CF0" w:rsidP="00FE7D66">
      <w:pPr>
        <w:rPr>
          <w:rFonts w:ascii="Arial" w:hAnsi="Arial" w:cs="Arial"/>
          <w:color w:val="1F497D"/>
        </w:rPr>
      </w:pPr>
      <w:hyperlink r:id="rId10" w:history="1">
        <w:r w:rsidR="00C304CE" w:rsidRPr="00EC5CF0">
          <w:rPr>
            <w:rStyle w:val="Hyperlink"/>
            <w:rFonts w:ascii="Arial" w:hAnsi="Arial" w:cs="Arial"/>
          </w:rPr>
          <w:t>https://www.scope.org.uk/employment-services/support-to-work/?gclid=CjwKCAjwn8SLBhAyEiwAHNTJbT9OT_VyzS8LBdXDJObY3e-0aIPKph2qwPMbqpibn4PJaOeOcm1ARBoC0wsQAvD_BwE</w:t>
        </w:r>
      </w:hyperlink>
    </w:p>
    <w:p w:rsidR="00C304CE" w:rsidRDefault="00C304CE" w:rsidP="00FE7D66">
      <w:pPr>
        <w:rPr>
          <w:color w:val="1F497D"/>
        </w:rPr>
      </w:pPr>
    </w:p>
    <w:p w:rsidR="00EC5CF0" w:rsidRDefault="00EC5CF0" w:rsidP="00E8775B">
      <w:pPr>
        <w:rPr>
          <w:rFonts w:ascii="Arial" w:hAnsi="Arial" w:cs="Arial"/>
        </w:rPr>
      </w:pPr>
    </w:p>
    <w:p w:rsidR="00E8775B" w:rsidRPr="00EC5CF0" w:rsidRDefault="00E8775B" w:rsidP="00E8775B">
      <w:pPr>
        <w:rPr>
          <w:rFonts w:ascii="Arial" w:hAnsi="Arial" w:cs="Arial"/>
          <w:b/>
          <w:u w:val="single"/>
        </w:rPr>
      </w:pPr>
      <w:r w:rsidRPr="00EC5CF0">
        <w:rPr>
          <w:rFonts w:ascii="Arial" w:hAnsi="Arial" w:cs="Arial"/>
          <w:b/>
          <w:u w:val="single"/>
        </w:rPr>
        <w:t>WHP</w:t>
      </w:r>
      <w:r w:rsidR="00EC5CF0">
        <w:rPr>
          <w:rFonts w:ascii="Arial" w:hAnsi="Arial" w:cs="Arial"/>
          <w:b/>
          <w:u w:val="single"/>
        </w:rPr>
        <w:t xml:space="preserve"> Work &amp; Health Programme</w:t>
      </w:r>
    </w:p>
    <w:p w:rsidR="00E8775B" w:rsidRDefault="00E8775B" w:rsidP="00E8775B">
      <w:pPr>
        <w:rPr>
          <w:rFonts w:ascii="Arial" w:hAnsi="Arial" w:cs="Arial"/>
          <w:b/>
        </w:rPr>
      </w:pPr>
    </w:p>
    <w:p w:rsidR="00E8775B" w:rsidRPr="00EC5CF0" w:rsidRDefault="00E8775B" w:rsidP="00E8775B">
      <w:pPr>
        <w:rPr>
          <w:rFonts w:ascii="Arial" w:hAnsi="Arial" w:cs="Arial"/>
        </w:rPr>
      </w:pPr>
      <w:r w:rsidRPr="00EC5CF0">
        <w:rPr>
          <w:rFonts w:ascii="Arial" w:hAnsi="Arial" w:cs="Arial"/>
        </w:rPr>
        <w:t>The Work and Health Programme (WHP) was launched throughout England and Wales on a rolling basis between November 2017 and April 2018. It predominantly helps people with a wide range of health conditions or disabilities, as well as the long-term unemployed, and certain priority groups, to enter into and stay in work, using the expertise of private, public and voluntary, and community sector providers.</w:t>
      </w:r>
    </w:p>
    <w:p w:rsidR="00EC5CF0" w:rsidRDefault="00EC5CF0" w:rsidP="00E8775B">
      <w:pPr>
        <w:rPr>
          <w:rFonts w:ascii="Arial" w:hAnsi="Arial" w:cs="Arial"/>
        </w:rPr>
      </w:pPr>
    </w:p>
    <w:p w:rsidR="00E8775B" w:rsidRPr="00EC5CF0" w:rsidRDefault="00E8775B" w:rsidP="00E8775B">
      <w:pPr>
        <w:rPr>
          <w:rFonts w:ascii="Arial" w:hAnsi="Arial" w:cs="Arial"/>
        </w:rPr>
      </w:pPr>
      <w:r w:rsidRPr="00EC5CF0">
        <w:rPr>
          <w:rFonts w:ascii="Arial" w:hAnsi="Arial" w:cs="Arial"/>
        </w:rPr>
        <w:t>WHP providers are building strong links to national and local employers to identify employment needs, identify roles and provide more individual training to better match people’s skills to jobs. They also offer light touch in-work support from job start for the participant if they need it, and ensuring that appropriate arrangements for continuation of support, including Access to Work is in place before the provider support ends.</w:t>
      </w:r>
    </w:p>
    <w:p w:rsidR="00EC5CF0" w:rsidRDefault="00EC5CF0" w:rsidP="00E8775B">
      <w:pPr>
        <w:rPr>
          <w:rFonts w:ascii="Arial" w:hAnsi="Arial" w:cs="Arial"/>
        </w:rPr>
      </w:pPr>
    </w:p>
    <w:p w:rsidR="00E8775B" w:rsidRPr="00EC5CF0" w:rsidRDefault="00E8775B" w:rsidP="00E8775B">
      <w:pPr>
        <w:rPr>
          <w:rFonts w:ascii="Arial" w:hAnsi="Arial" w:cs="Arial"/>
        </w:rPr>
      </w:pPr>
      <w:r w:rsidRPr="00EC5CF0">
        <w:rPr>
          <w:rFonts w:ascii="Arial" w:hAnsi="Arial" w:cs="Arial"/>
        </w:rPr>
        <w:lastRenderedPageBreak/>
        <w:t>For more information on available support, employers can contact the following WHP providers:</w:t>
      </w:r>
    </w:p>
    <w:tbl>
      <w:tblPr>
        <w:tblW w:w="10688" w:type="dxa"/>
        <w:shd w:val="clear" w:color="auto" w:fill="FFFFFF"/>
        <w:tblCellMar>
          <w:top w:w="15" w:type="dxa"/>
          <w:left w:w="15" w:type="dxa"/>
          <w:bottom w:w="15" w:type="dxa"/>
          <w:right w:w="15" w:type="dxa"/>
        </w:tblCellMar>
        <w:tblLook w:val="04A0" w:firstRow="1" w:lastRow="0" w:firstColumn="1" w:lastColumn="0" w:noHBand="0" w:noVBand="1"/>
      </w:tblPr>
      <w:tblGrid>
        <w:gridCol w:w="6525"/>
        <w:gridCol w:w="4163"/>
      </w:tblGrid>
      <w:tr w:rsidR="00E8775B" w:rsidRPr="00E8775B" w:rsidTr="00E8775B">
        <w:trPr>
          <w:tblHeader/>
        </w:trPr>
        <w:tc>
          <w:tcPr>
            <w:tcW w:w="0" w:type="auto"/>
            <w:tcBorders>
              <w:bottom w:val="single" w:sz="6" w:space="0" w:color="B1B4B6"/>
            </w:tcBorders>
            <w:shd w:val="clear" w:color="auto" w:fill="FFFFFF"/>
            <w:tcMar>
              <w:top w:w="150" w:type="dxa"/>
              <w:left w:w="0" w:type="dxa"/>
              <w:bottom w:w="150" w:type="dxa"/>
              <w:right w:w="300" w:type="dxa"/>
            </w:tcMar>
            <w:hideMark/>
          </w:tcPr>
          <w:p w:rsidR="00E8775B" w:rsidRPr="00E8775B" w:rsidRDefault="00E8775B" w:rsidP="00E8775B">
            <w:pPr>
              <w:rPr>
                <w:rFonts w:asciiTheme="minorHAnsi" w:hAnsiTheme="minorHAnsi" w:cstheme="minorHAnsi"/>
                <w:b/>
                <w:bCs/>
              </w:rPr>
            </w:pPr>
            <w:r w:rsidRPr="00E8775B">
              <w:rPr>
                <w:rFonts w:asciiTheme="minorHAnsi" w:hAnsiTheme="minorHAnsi" w:cstheme="minorHAnsi"/>
                <w:b/>
                <w:bCs/>
              </w:rPr>
              <w:t>Area</w:t>
            </w:r>
          </w:p>
        </w:tc>
        <w:tc>
          <w:tcPr>
            <w:tcW w:w="0" w:type="auto"/>
            <w:tcBorders>
              <w:bottom w:val="single" w:sz="6" w:space="0" w:color="B1B4B6"/>
            </w:tcBorders>
            <w:shd w:val="clear" w:color="auto" w:fill="FFFFFF"/>
            <w:tcMar>
              <w:top w:w="150" w:type="dxa"/>
              <w:left w:w="0" w:type="dxa"/>
              <w:bottom w:w="150" w:type="dxa"/>
              <w:right w:w="0" w:type="dxa"/>
            </w:tcMar>
            <w:hideMark/>
          </w:tcPr>
          <w:p w:rsidR="00E8775B" w:rsidRPr="00E8775B" w:rsidRDefault="00E8775B" w:rsidP="00E8775B">
            <w:pPr>
              <w:rPr>
                <w:rFonts w:asciiTheme="minorHAnsi" w:hAnsiTheme="minorHAnsi" w:cstheme="minorHAnsi"/>
                <w:b/>
                <w:bCs/>
              </w:rPr>
            </w:pPr>
            <w:r w:rsidRPr="00E8775B">
              <w:rPr>
                <w:rFonts w:asciiTheme="minorHAnsi" w:hAnsiTheme="minorHAnsi" w:cstheme="minorHAnsi"/>
                <w:b/>
                <w:bCs/>
              </w:rPr>
              <w:t>Provider</w:t>
            </w:r>
          </w:p>
        </w:tc>
      </w:tr>
      <w:tr w:rsidR="00E8775B" w:rsidRPr="00E8775B" w:rsidTr="00E8775B">
        <w:tc>
          <w:tcPr>
            <w:tcW w:w="0" w:type="auto"/>
            <w:tcBorders>
              <w:bottom w:val="single" w:sz="6" w:space="0" w:color="B1B4B6"/>
            </w:tcBorders>
            <w:shd w:val="clear" w:color="auto" w:fill="FFFFFF"/>
            <w:tcMar>
              <w:top w:w="150" w:type="dxa"/>
              <w:left w:w="0" w:type="dxa"/>
              <w:bottom w:w="150" w:type="dxa"/>
              <w:right w:w="300" w:type="dxa"/>
            </w:tcMar>
            <w:hideMark/>
          </w:tcPr>
          <w:p w:rsidR="00E8775B" w:rsidRPr="00E8775B" w:rsidRDefault="00E8775B" w:rsidP="00E8775B">
            <w:pPr>
              <w:rPr>
                <w:rFonts w:asciiTheme="minorHAnsi" w:hAnsiTheme="minorHAnsi" w:cstheme="minorHAnsi"/>
              </w:rPr>
            </w:pPr>
            <w:r w:rsidRPr="00E8775B">
              <w:rPr>
                <w:rFonts w:asciiTheme="minorHAnsi" w:hAnsiTheme="minorHAnsi" w:cstheme="minorHAnsi"/>
              </w:rPr>
              <w:t>Central and Home Counties</w:t>
            </w:r>
          </w:p>
        </w:tc>
        <w:tc>
          <w:tcPr>
            <w:tcW w:w="0" w:type="auto"/>
            <w:tcBorders>
              <w:bottom w:val="single" w:sz="6" w:space="0" w:color="B1B4B6"/>
            </w:tcBorders>
            <w:shd w:val="clear" w:color="auto" w:fill="FFFFFF"/>
            <w:tcMar>
              <w:top w:w="150" w:type="dxa"/>
              <w:left w:w="0" w:type="dxa"/>
              <w:bottom w:w="150" w:type="dxa"/>
              <w:right w:w="0" w:type="dxa"/>
            </w:tcMar>
            <w:hideMark/>
          </w:tcPr>
          <w:p w:rsidR="00E8775B" w:rsidRPr="00E8775B" w:rsidRDefault="00EC5CF0" w:rsidP="00E8775B">
            <w:pPr>
              <w:rPr>
                <w:rFonts w:asciiTheme="minorHAnsi" w:hAnsiTheme="minorHAnsi" w:cstheme="minorHAnsi"/>
              </w:rPr>
            </w:pPr>
            <w:hyperlink r:id="rId11" w:history="1">
              <w:r w:rsidR="00E8775B" w:rsidRPr="00E8775B">
                <w:rPr>
                  <w:rStyle w:val="Hyperlink"/>
                  <w:rFonts w:asciiTheme="minorHAnsi" w:hAnsiTheme="minorHAnsi" w:cstheme="minorHAnsi"/>
                </w:rPr>
                <w:t>Shaw Trust</w:t>
              </w:r>
            </w:hyperlink>
          </w:p>
        </w:tc>
      </w:tr>
      <w:tr w:rsidR="00E8775B" w:rsidRPr="00E8775B" w:rsidTr="00E8775B">
        <w:tc>
          <w:tcPr>
            <w:tcW w:w="0" w:type="auto"/>
            <w:tcBorders>
              <w:bottom w:val="single" w:sz="6" w:space="0" w:color="B1B4B6"/>
            </w:tcBorders>
            <w:shd w:val="clear" w:color="auto" w:fill="FFFFFF"/>
            <w:tcMar>
              <w:top w:w="150" w:type="dxa"/>
              <w:left w:w="0" w:type="dxa"/>
              <w:bottom w:w="150" w:type="dxa"/>
              <w:right w:w="300" w:type="dxa"/>
            </w:tcMar>
            <w:hideMark/>
          </w:tcPr>
          <w:p w:rsidR="00E8775B" w:rsidRPr="00E8775B" w:rsidRDefault="00E8775B" w:rsidP="00E8775B">
            <w:pPr>
              <w:rPr>
                <w:rFonts w:asciiTheme="minorHAnsi" w:hAnsiTheme="minorHAnsi" w:cstheme="minorHAnsi"/>
              </w:rPr>
            </w:pPr>
            <w:r w:rsidRPr="00E8775B">
              <w:rPr>
                <w:rFonts w:asciiTheme="minorHAnsi" w:hAnsiTheme="minorHAnsi" w:cstheme="minorHAnsi"/>
              </w:rPr>
              <w:t>North East</w:t>
            </w:r>
          </w:p>
        </w:tc>
        <w:tc>
          <w:tcPr>
            <w:tcW w:w="0" w:type="auto"/>
            <w:tcBorders>
              <w:bottom w:val="single" w:sz="6" w:space="0" w:color="B1B4B6"/>
            </w:tcBorders>
            <w:shd w:val="clear" w:color="auto" w:fill="FFFFFF"/>
            <w:tcMar>
              <w:top w:w="150" w:type="dxa"/>
              <w:left w:w="0" w:type="dxa"/>
              <w:bottom w:w="150" w:type="dxa"/>
              <w:right w:w="0" w:type="dxa"/>
            </w:tcMar>
            <w:hideMark/>
          </w:tcPr>
          <w:p w:rsidR="00E8775B" w:rsidRPr="00E8775B" w:rsidRDefault="00EC5CF0" w:rsidP="00E8775B">
            <w:pPr>
              <w:rPr>
                <w:rFonts w:asciiTheme="minorHAnsi" w:hAnsiTheme="minorHAnsi" w:cstheme="minorHAnsi"/>
              </w:rPr>
            </w:pPr>
            <w:hyperlink r:id="rId12" w:history="1">
              <w:r w:rsidR="00E8775B" w:rsidRPr="00E8775B">
                <w:rPr>
                  <w:rStyle w:val="Hyperlink"/>
                  <w:rFonts w:asciiTheme="minorHAnsi" w:hAnsiTheme="minorHAnsi" w:cstheme="minorHAnsi"/>
                </w:rPr>
                <w:t>Reed in Partnership</w:t>
              </w:r>
            </w:hyperlink>
          </w:p>
        </w:tc>
      </w:tr>
      <w:tr w:rsidR="00E8775B" w:rsidRPr="00E8775B" w:rsidTr="00E8775B">
        <w:tc>
          <w:tcPr>
            <w:tcW w:w="0" w:type="auto"/>
            <w:tcBorders>
              <w:bottom w:val="single" w:sz="6" w:space="0" w:color="B1B4B6"/>
            </w:tcBorders>
            <w:shd w:val="clear" w:color="auto" w:fill="FFFFFF"/>
            <w:tcMar>
              <w:top w:w="150" w:type="dxa"/>
              <w:left w:w="0" w:type="dxa"/>
              <w:bottom w:w="150" w:type="dxa"/>
              <w:right w:w="300" w:type="dxa"/>
            </w:tcMar>
            <w:hideMark/>
          </w:tcPr>
          <w:p w:rsidR="00E8775B" w:rsidRPr="00E8775B" w:rsidRDefault="00E8775B" w:rsidP="00E8775B">
            <w:pPr>
              <w:rPr>
                <w:rFonts w:asciiTheme="minorHAnsi" w:hAnsiTheme="minorHAnsi" w:cstheme="minorHAnsi"/>
              </w:rPr>
            </w:pPr>
            <w:r w:rsidRPr="00E8775B">
              <w:rPr>
                <w:rFonts w:asciiTheme="minorHAnsi" w:hAnsiTheme="minorHAnsi" w:cstheme="minorHAnsi"/>
              </w:rPr>
              <w:t>North West</w:t>
            </w:r>
          </w:p>
        </w:tc>
        <w:tc>
          <w:tcPr>
            <w:tcW w:w="0" w:type="auto"/>
            <w:tcBorders>
              <w:bottom w:val="single" w:sz="6" w:space="0" w:color="B1B4B6"/>
            </w:tcBorders>
            <w:shd w:val="clear" w:color="auto" w:fill="FFFFFF"/>
            <w:tcMar>
              <w:top w:w="150" w:type="dxa"/>
              <w:left w:w="0" w:type="dxa"/>
              <w:bottom w:w="150" w:type="dxa"/>
              <w:right w:w="0" w:type="dxa"/>
            </w:tcMar>
            <w:hideMark/>
          </w:tcPr>
          <w:p w:rsidR="00E8775B" w:rsidRPr="00E8775B" w:rsidRDefault="00EC5CF0" w:rsidP="00E8775B">
            <w:pPr>
              <w:rPr>
                <w:rFonts w:asciiTheme="minorHAnsi" w:hAnsiTheme="minorHAnsi" w:cstheme="minorHAnsi"/>
              </w:rPr>
            </w:pPr>
            <w:hyperlink r:id="rId13" w:history="1">
              <w:r w:rsidR="00E8775B" w:rsidRPr="00E8775B">
                <w:rPr>
                  <w:rStyle w:val="Hyperlink"/>
                  <w:rFonts w:asciiTheme="minorHAnsi" w:hAnsiTheme="minorHAnsi" w:cstheme="minorHAnsi"/>
                </w:rPr>
                <w:t>Ingus</w:t>
              </w:r>
            </w:hyperlink>
          </w:p>
        </w:tc>
      </w:tr>
      <w:tr w:rsidR="00E8775B" w:rsidRPr="00E8775B" w:rsidTr="00E8775B">
        <w:tc>
          <w:tcPr>
            <w:tcW w:w="0" w:type="auto"/>
            <w:tcBorders>
              <w:bottom w:val="single" w:sz="6" w:space="0" w:color="B1B4B6"/>
            </w:tcBorders>
            <w:shd w:val="clear" w:color="auto" w:fill="FFFFFF"/>
            <w:tcMar>
              <w:top w:w="150" w:type="dxa"/>
              <w:left w:w="0" w:type="dxa"/>
              <w:bottom w:w="150" w:type="dxa"/>
              <w:right w:w="300" w:type="dxa"/>
            </w:tcMar>
            <w:hideMark/>
          </w:tcPr>
          <w:p w:rsidR="00E8775B" w:rsidRPr="00E8775B" w:rsidRDefault="00E8775B" w:rsidP="00E8775B">
            <w:pPr>
              <w:rPr>
                <w:rFonts w:asciiTheme="minorHAnsi" w:hAnsiTheme="minorHAnsi" w:cstheme="minorHAnsi"/>
              </w:rPr>
            </w:pPr>
            <w:r w:rsidRPr="00E8775B">
              <w:rPr>
                <w:rFonts w:asciiTheme="minorHAnsi" w:hAnsiTheme="minorHAnsi" w:cstheme="minorHAnsi"/>
              </w:rPr>
              <w:t>Southern</w:t>
            </w:r>
          </w:p>
        </w:tc>
        <w:tc>
          <w:tcPr>
            <w:tcW w:w="0" w:type="auto"/>
            <w:tcBorders>
              <w:bottom w:val="single" w:sz="6" w:space="0" w:color="B1B4B6"/>
            </w:tcBorders>
            <w:shd w:val="clear" w:color="auto" w:fill="FFFFFF"/>
            <w:tcMar>
              <w:top w:w="150" w:type="dxa"/>
              <w:left w:w="0" w:type="dxa"/>
              <w:bottom w:w="150" w:type="dxa"/>
              <w:right w:w="0" w:type="dxa"/>
            </w:tcMar>
            <w:hideMark/>
          </w:tcPr>
          <w:p w:rsidR="00E8775B" w:rsidRPr="00E8775B" w:rsidRDefault="00EC5CF0" w:rsidP="00E8775B">
            <w:pPr>
              <w:rPr>
                <w:rFonts w:asciiTheme="minorHAnsi" w:hAnsiTheme="minorHAnsi" w:cstheme="minorHAnsi"/>
              </w:rPr>
            </w:pPr>
            <w:hyperlink r:id="rId14" w:history="1">
              <w:r w:rsidR="00E8775B" w:rsidRPr="00E8775B">
                <w:rPr>
                  <w:rStyle w:val="Hyperlink"/>
                  <w:rFonts w:asciiTheme="minorHAnsi" w:hAnsiTheme="minorHAnsi" w:cstheme="minorHAnsi"/>
                </w:rPr>
                <w:t>Seetec Pluss</w:t>
              </w:r>
            </w:hyperlink>
          </w:p>
        </w:tc>
      </w:tr>
      <w:tr w:rsidR="00E8775B" w:rsidRPr="00E8775B" w:rsidTr="00E8775B">
        <w:tc>
          <w:tcPr>
            <w:tcW w:w="0" w:type="auto"/>
            <w:tcBorders>
              <w:bottom w:val="single" w:sz="6" w:space="0" w:color="B1B4B6"/>
            </w:tcBorders>
            <w:shd w:val="clear" w:color="auto" w:fill="FFFFFF"/>
            <w:tcMar>
              <w:top w:w="150" w:type="dxa"/>
              <w:left w:w="0" w:type="dxa"/>
              <w:bottom w:w="150" w:type="dxa"/>
              <w:right w:w="300" w:type="dxa"/>
            </w:tcMar>
            <w:hideMark/>
          </w:tcPr>
          <w:p w:rsidR="00E8775B" w:rsidRPr="00E8775B" w:rsidRDefault="00E8775B" w:rsidP="00E8775B">
            <w:pPr>
              <w:rPr>
                <w:rFonts w:asciiTheme="minorHAnsi" w:hAnsiTheme="minorHAnsi" w:cstheme="minorHAnsi"/>
              </w:rPr>
            </w:pPr>
            <w:r w:rsidRPr="00E8775B">
              <w:rPr>
                <w:rFonts w:asciiTheme="minorHAnsi" w:hAnsiTheme="minorHAnsi" w:cstheme="minorHAnsi"/>
              </w:rPr>
              <w:t>Wales</w:t>
            </w:r>
          </w:p>
        </w:tc>
        <w:tc>
          <w:tcPr>
            <w:tcW w:w="0" w:type="auto"/>
            <w:tcBorders>
              <w:bottom w:val="single" w:sz="6" w:space="0" w:color="B1B4B6"/>
            </w:tcBorders>
            <w:shd w:val="clear" w:color="auto" w:fill="FFFFFF"/>
            <w:tcMar>
              <w:top w:w="150" w:type="dxa"/>
              <w:left w:w="0" w:type="dxa"/>
              <w:bottom w:w="150" w:type="dxa"/>
              <w:right w:w="0" w:type="dxa"/>
            </w:tcMar>
            <w:hideMark/>
          </w:tcPr>
          <w:p w:rsidR="00E8775B" w:rsidRPr="00E8775B" w:rsidRDefault="00EC5CF0" w:rsidP="00E8775B">
            <w:pPr>
              <w:rPr>
                <w:rFonts w:asciiTheme="minorHAnsi" w:hAnsiTheme="minorHAnsi" w:cstheme="minorHAnsi"/>
              </w:rPr>
            </w:pPr>
            <w:hyperlink r:id="rId15" w:history="1">
              <w:r w:rsidR="00E8775B" w:rsidRPr="00E8775B">
                <w:rPr>
                  <w:rStyle w:val="Hyperlink"/>
                  <w:rFonts w:asciiTheme="minorHAnsi" w:hAnsiTheme="minorHAnsi" w:cstheme="minorHAnsi"/>
                </w:rPr>
                <w:t>Remploy</w:t>
              </w:r>
            </w:hyperlink>
          </w:p>
        </w:tc>
      </w:tr>
    </w:tbl>
    <w:p w:rsidR="00E8775B" w:rsidRPr="00E8775B" w:rsidRDefault="00E8775B" w:rsidP="00E8775B">
      <w:pPr>
        <w:rPr>
          <w:rFonts w:asciiTheme="minorHAnsi" w:hAnsiTheme="minorHAnsi" w:cstheme="minorHAnsi"/>
        </w:rPr>
      </w:pPr>
    </w:p>
    <w:p w:rsidR="00C304CE" w:rsidRDefault="00C304CE" w:rsidP="00FE7D66">
      <w:pPr>
        <w:rPr>
          <w:color w:val="1F497D"/>
        </w:rPr>
      </w:pPr>
    </w:p>
    <w:p w:rsidR="00EC5CF0" w:rsidRDefault="00EC5CF0" w:rsidP="00FE7D66">
      <w:pPr>
        <w:rPr>
          <w:color w:val="1F497D"/>
        </w:rPr>
      </w:pPr>
    </w:p>
    <w:p w:rsidR="00EC5CF0" w:rsidRDefault="00EC5CF0" w:rsidP="00FE7D66">
      <w:pPr>
        <w:rPr>
          <w:color w:val="1F497D"/>
        </w:rPr>
      </w:pPr>
    </w:p>
    <w:p w:rsidR="00EC5CF0" w:rsidRPr="00EC5CF0" w:rsidRDefault="00EC5CF0" w:rsidP="00FE7D66">
      <w:pPr>
        <w:rPr>
          <w:rFonts w:ascii="Arial" w:hAnsi="Arial" w:cs="Arial"/>
          <w:b/>
          <w:color w:val="1F497D"/>
          <w:u w:val="single"/>
        </w:rPr>
      </w:pPr>
      <w:r w:rsidRPr="00EC5CF0">
        <w:rPr>
          <w:rFonts w:ascii="Arial" w:hAnsi="Arial" w:cs="Arial"/>
          <w:b/>
          <w:u w:val="single"/>
        </w:rPr>
        <w:t>Intensive Personalised Employment Support Programme</w:t>
      </w:r>
    </w:p>
    <w:p w:rsidR="00E8775B" w:rsidRDefault="00E8775B" w:rsidP="00FE7D66">
      <w:pPr>
        <w:rPr>
          <w:color w:val="1F497D"/>
        </w:rPr>
      </w:pPr>
    </w:p>
    <w:p w:rsidR="00283F40" w:rsidRDefault="00EC5CF0">
      <w:hyperlink r:id="rId16" w:history="1">
        <w:r w:rsidRPr="00FE6CC7">
          <w:rPr>
            <w:rStyle w:val="Hyperlink"/>
          </w:rPr>
          <w:t>https://www.gov.uk/intensive-personalised-employment-support</w:t>
        </w:r>
      </w:hyperlink>
      <w:bookmarkStart w:id="0" w:name="_GoBack"/>
      <w:bookmarkEnd w:id="0"/>
    </w:p>
    <w:p w:rsidR="00EC5CF0" w:rsidRDefault="00EC5CF0"/>
    <w:p w:rsidR="00EC5CF0" w:rsidRDefault="00EC5CF0">
      <w:r>
        <w:t>P</w:t>
      </w:r>
      <w:r w:rsidRPr="00EC5CF0">
        <w:t>rovides personalised support to those with more complex needs or barriers.</w:t>
      </w:r>
    </w:p>
    <w:sectPr w:rsidR="00EC5C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D66" w:rsidRDefault="00FE7D66" w:rsidP="00FE7D66">
      <w:r>
        <w:separator/>
      </w:r>
    </w:p>
  </w:endnote>
  <w:endnote w:type="continuationSeparator" w:id="0">
    <w:p w:rsidR="00FE7D66" w:rsidRDefault="00FE7D66" w:rsidP="00FE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D66" w:rsidRDefault="00FE7D66" w:rsidP="00FE7D66">
      <w:r>
        <w:separator/>
      </w:r>
    </w:p>
  </w:footnote>
  <w:footnote w:type="continuationSeparator" w:id="0">
    <w:p w:rsidR="00FE7D66" w:rsidRDefault="00FE7D66" w:rsidP="00FE7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66"/>
    <w:rsid w:val="00283F40"/>
    <w:rsid w:val="00445489"/>
    <w:rsid w:val="00592120"/>
    <w:rsid w:val="007A4445"/>
    <w:rsid w:val="00803727"/>
    <w:rsid w:val="00C1567B"/>
    <w:rsid w:val="00C304CE"/>
    <w:rsid w:val="00E8775B"/>
    <w:rsid w:val="00EC5CF0"/>
    <w:rsid w:val="00FE7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E80C1-24EE-42F8-B82E-D5D75321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D6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D66"/>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FE7D66"/>
  </w:style>
  <w:style w:type="paragraph" w:styleId="Footer">
    <w:name w:val="footer"/>
    <w:basedOn w:val="Normal"/>
    <w:link w:val="FooterChar"/>
    <w:uiPriority w:val="99"/>
    <w:unhideWhenUsed/>
    <w:rsid w:val="00FE7D66"/>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FE7D66"/>
  </w:style>
  <w:style w:type="character" w:styleId="Hyperlink">
    <w:name w:val="Hyperlink"/>
    <w:basedOn w:val="DefaultParagraphFont"/>
    <w:uiPriority w:val="99"/>
    <w:unhideWhenUsed/>
    <w:rsid w:val="007A44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919783">
      <w:bodyDiv w:val="1"/>
      <w:marLeft w:val="0"/>
      <w:marRight w:val="0"/>
      <w:marTop w:val="0"/>
      <w:marBottom w:val="0"/>
      <w:divBdr>
        <w:top w:val="none" w:sz="0" w:space="0" w:color="auto"/>
        <w:left w:val="none" w:sz="0" w:space="0" w:color="auto"/>
        <w:bottom w:val="none" w:sz="0" w:space="0" w:color="auto"/>
        <w:right w:val="none" w:sz="0" w:space="0" w:color="auto"/>
      </w:divBdr>
    </w:div>
    <w:div w:id="189211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ccess-to-work" TargetMode="External"/><Relationship Id="rId13" Type="http://schemas.openxmlformats.org/officeDocument/2006/relationships/hyperlink" Target="https://workandhealthnorthwest.co.uk/employer-support.ph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mploy.co.uk/employers/mental-health-and-wellbeing/workplace-mental-health-support-service-employers?utm_source=http%3a%2f%2fnews.dwp.gov.uk%2fdwplz%2f&amp;utm_medium=email&amp;utm_campaign=COVID-19+support+%7c+Access+to+Work+%7c+Mental+health&amp;utm_term=COVID-19+support+%7c+Access+to+Work+%7c+Mental+health+&amp;utm_content=36141" TargetMode="External"/><Relationship Id="rId12" Type="http://schemas.openxmlformats.org/officeDocument/2006/relationships/hyperlink" Target="https://betterworkingfutures.co.uk/employer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ov.uk/intensive-personalised-employment-support" TargetMode="External"/><Relationship Id="rId1" Type="http://schemas.openxmlformats.org/officeDocument/2006/relationships/styles" Target="styles.xml"/><Relationship Id="rId6" Type="http://schemas.openxmlformats.org/officeDocument/2006/relationships/hyperlink" Target="https://able-futures.co.uk" TargetMode="External"/><Relationship Id="rId11" Type="http://schemas.openxmlformats.org/officeDocument/2006/relationships/hyperlink" Target="https://www.shaw-trust.org.uk/en-GB/Services-(2)/Work-and-Health-Programme" TargetMode="External"/><Relationship Id="rId5" Type="http://schemas.openxmlformats.org/officeDocument/2006/relationships/endnotes" Target="endnotes.xml"/><Relationship Id="rId15" Type="http://schemas.openxmlformats.org/officeDocument/2006/relationships/hyperlink" Target="https://www.remploy.co.uk/about-us/current-programmes/work-and-health-programme" TargetMode="External"/><Relationship Id="rId10" Type="http://schemas.openxmlformats.org/officeDocument/2006/relationships/hyperlink" Target="https://www.scope.org.uk/employment-services/support-to-work/?gclid=CjwKCAjwn8SLBhAyEiwAHNTJbT9OT_VyzS8LBdXDJObY3e-0aIPKph2qwPMbqpibn4PJaOeOcm1ARBoC0wsQAvD_BwE" TargetMode="External"/><Relationship Id="rId4" Type="http://schemas.openxmlformats.org/officeDocument/2006/relationships/footnotes" Target="footnotes.xml"/><Relationship Id="rId9" Type="http://schemas.openxmlformats.org/officeDocument/2006/relationships/hyperlink" Target="https://doitprofiler.com/personal-profilers" TargetMode="External"/><Relationship Id="rId14" Type="http://schemas.openxmlformats.org/officeDocument/2006/relationships/hyperlink" Target="https://www.seetec.co.uk/employability/seetec-plu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Institute of the Motor Industry</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Sally-Anne Hodder</dc:creator>
  <cp:keywords/>
  <dc:description/>
  <cp:lastModifiedBy>Sally-Anne Hodder</cp:lastModifiedBy>
  <cp:revision>5</cp:revision>
  <dcterms:created xsi:type="dcterms:W3CDTF">2021-10-21T11:17:00Z</dcterms:created>
  <dcterms:modified xsi:type="dcterms:W3CDTF">2022-01-23T11:55:00Z</dcterms:modified>
</cp:coreProperties>
</file>